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D8" w:rsidRDefault="00FF5CD8" w:rsidP="00F6782E">
      <w:pPr>
        <w:snapToGrid w:val="0"/>
        <w:spacing w:line="264" w:lineRule="auto"/>
        <w:rPr>
          <w:rFonts w:ascii="メイリオ" w:eastAsia="メイリオ" w:hAnsi="メイリオ"/>
          <w:b/>
          <w:color w:val="2F5496" w:themeColor="accent1" w:themeShade="BF"/>
          <w:sz w:val="24"/>
        </w:rPr>
      </w:pPr>
    </w:p>
    <w:p w:rsidR="00FF5CD8" w:rsidRPr="00F6782E" w:rsidRDefault="00FF5CD8" w:rsidP="00F6782E">
      <w:pPr>
        <w:snapToGrid w:val="0"/>
        <w:spacing w:line="264" w:lineRule="auto"/>
        <w:jc w:val="center"/>
        <w:rPr>
          <w:rFonts w:ascii="メイリオ" w:eastAsia="メイリオ" w:hAnsi="メイリオ"/>
          <w:b/>
          <w:color w:val="2F5496" w:themeColor="accent1" w:themeShade="BF"/>
          <w:sz w:val="28"/>
          <w:szCs w:val="24"/>
        </w:rPr>
      </w:pPr>
      <w:r w:rsidRPr="00F6782E">
        <w:rPr>
          <w:rFonts w:ascii="メイリオ" w:eastAsia="メイリオ" w:hAnsi="メイリオ" w:hint="eastAsia"/>
          <w:b/>
          <w:color w:val="2F5496" w:themeColor="accent1" w:themeShade="BF"/>
          <w:sz w:val="28"/>
          <w:szCs w:val="24"/>
        </w:rPr>
        <w:t>医学研究科看護学専攻博士後期課程の</w:t>
      </w:r>
      <w:r w:rsidRPr="00F6782E">
        <w:rPr>
          <w:rFonts w:ascii="メイリオ" w:eastAsia="メイリオ" w:hAnsi="メイリオ"/>
          <w:b/>
          <w:color w:val="2F5496" w:themeColor="accent1" w:themeShade="BF"/>
          <w:sz w:val="28"/>
          <w:szCs w:val="24"/>
        </w:rPr>
        <w:t>3つのポリシー</w:t>
      </w:r>
    </w:p>
    <w:p w:rsidR="00FF5CD8" w:rsidRPr="00FF5CD8" w:rsidRDefault="00FF5CD8" w:rsidP="00F6782E">
      <w:pPr>
        <w:snapToGrid w:val="0"/>
        <w:spacing w:line="264" w:lineRule="auto"/>
        <w:rPr>
          <w:rFonts w:ascii="メイリオ" w:eastAsia="メイリオ" w:hAnsi="メイリオ"/>
          <w:b/>
          <w:color w:val="2F5496" w:themeColor="accent1" w:themeShade="BF"/>
          <w:sz w:val="24"/>
          <w:szCs w:val="24"/>
        </w:rPr>
      </w:pPr>
    </w:p>
    <w:p w:rsidR="00FF5CD8" w:rsidRPr="00FF5CD8" w:rsidRDefault="00FF5CD8" w:rsidP="00F6782E">
      <w:pPr>
        <w:snapToGrid w:val="0"/>
        <w:spacing w:line="264" w:lineRule="auto"/>
        <w:rPr>
          <w:rFonts w:ascii="メイリオ" w:eastAsia="メイリオ" w:hAnsi="メイリオ"/>
          <w:b/>
          <w:color w:val="2F5496" w:themeColor="accent1" w:themeShade="BF"/>
          <w:sz w:val="28"/>
          <w:szCs w:val="24"/>
        </w:rPr>
      </w:pPr>
      <w:r w:rsidRPr="00FF5CD8">
        <w:rPr>
          <w:rFonts w:ascii="メイリオ" w:eastAsia="メイリオ" w:hAnsi="メイリオ" w:hint="eastAsia"/>
          <w:b/>
          <w:color w:val="2F5496" w:themeColor="accent1" w:themeShade="BF"/>
          <w:sz w:val="28"/>
          <w:szCs w:val="24"/>
        </w:rPr>
        <w:t>ディプロマ・ポリシー（学位授与に関する方針＝育成する人材）</w:t>
      </w:r>
    </w:p>
    <w:p w:rsidR="00FF5CD8" w:rsidRPr="00FF5CD8" w:rsidRDefault="00FF5CD8" w:rsidP="00F6782E">
      <w:pPr>
        <w:snapToGrid w:val="0"/>
        <w:spacing w:line="264" w:lineRule="auto"/>
        <w:rPr>
          <w:rFonts w:ascii="メイリオ" w:eastAsia="メイリオ" w:hAnsi="メイリオ"/>
          <w:sz w:val="20"/>
          <w:szCs w:val="24"/>
        </w:rPr>
      </w:pPr>
    </w:p>
    <w:p w:rsidR="00FF5CD8" w:rsidRPr="00FF5CD8" w:rsidRDefault="00FF5CD8" w:rsidP="00F6782E">
      <w:pPr>
        <w:snapToGrid w:val="0"/>
        <w:spacing w:line="264" w:lineRule="auto"/>
        <w:rPr>
          <w:rFonts w:ascii="メイリオ" w:eastAsia="メイリオ" w:hAnsi="メイリオ"/>
          <w:sz w:val="24"/>
          <w:szCs w:val="24"/>
        </w:rPr>
      </w:pPr>
      <w:r w:rsidRPr="00FF5CD8">
        <w:rPr>
          <w:rFonts w:ascii="メイリオ" w:eastAsia="メイリオ" w:hAnsi="メイリオ" w:hint="eastAsia"/>
          <w:sz w:val="24"/>
          <w:szCs w:val="24"/>
        </w:rPr>
        <w:t>本博士後期課程では、所定の修業年限を在籍し、修了要件となる単位を取得するとともに、博士論文の審査及び最終試験に合格し、下記の能力と姿勢を有するものに学位を授与する。</w:t>
      </w:r>
      <w:r w:rsidRPr="00FF5CD8">
        <w:rPr>
          <w:rFonts w:ascii="メイリオ" w:eastAsia="メイリオ" w:hAnsi="メイリオ"/>
          <w:sz w:val="24"/>
          <w:szCs w:val="24"/>
        </w:rPr>
        <w:t xml:space="preserve"> </w:t>
      </w:r>
    </w:p>
    <w:p w:rsidR="00FF5CD8" w:rsidRPr="00FF5CD8" w:rsidRDefault="00FF5CD8" w:rsidP="00F6782E">
      <w:pPr>
        <w:snapToGrid w:val="0"/>
        <w:spacing w:line="264" w:lineRule="auto"/>
        <w:rPr>
          <w:rFonts w:ascii="メイリオ" w:eastAsia="メイリオ" w:hAnsi="メイリオ"/>
          <w:sz w:val="24"/>
          <w:szCs w:val="24"/>
        </w:rPr>
      </w:pPr>
    </w:p>
    <w:p w:rsidR="00FF5CD8" w:rsidRDefault="00FF5CD8" w:rsidP="00F6782E">
      <w:pPr>
        <w:snapToGrid w:val="0"/>
        <w:spacing w:line="264" w:lineRule="auto"/>
        <w:rPr>
          <w:rFonts w:ascii="メイリオ" w:eastAsia="メイリオ" w:hAnsi="メイリオ"/>
          <w:sz w:val="24"/>
          <w:szCs w:val="24"/>
        </w:rPr>
      </w:pPr>
      <w:r w:rsidRPr="00FF5CD8">
        <w:rPr>
          <w:rFonts w:ascii="メイリオ" w:eastAsia="メイリオ" w:hAnsi="メイリオ"/>
          <w:sz w:val="24"/>
          <w:szCs w:val="24"/>
        </w:rPr>
        <w:t xml:space="preserve">1. 国民の健康上の課題を解決するために新たな知識や技術を創造する研究能力 </w:t>
      </w:r>
    </w:p>
    <w:p w:rsidR="00FF5CD8" w:rsidRDefault="00FF5CD8" w:rsidP="00F6782E">
      <w:pPr>
        <w:snapToGrid w:val="0"/>
        <w:spacing w:line="264" w:lineRule="auto"/>
        <w:rPr>
          <w:rFonts w:ascii="メイリオ" w:eastAsia="メイリオ" w:hAnsi="メイリオ"/>
          <w:sz w:val="24"/>
          <w:szCs w:val="24"/>
        </w:rPr>
      </w:pPr>
      <w:r w:rsidRPr="00FF5CD8">
        <w:rPr>
          <w:rFonts w:ascii="メイリオ" w:eastAsia="メイリオ" w:hAnsi="メイリオ"/>
          <w:sz w:val="24"/>
          <w:szCs w:val="24"/>
        </w:rPr>
        <w:t xml:space="preserve">2. 看護学の学識者として看護哲学を追究する姿勢 </w:t>
      </w:r>
    </w:p>
    <w:p w:rsidR="00FF5CD8" w:rsidRDefault="00FF5CD8" w:rsidP="00F6782E">
      <w:pPr>
        <w:snapToGrid w:val="0"/>
        <w:spacing w:line="264" w:lineRule="auto"/>
        <w:rPr>
          <w:rFonts w:ascii="メイリオ" w:eastAsia="メイリオ" w:hAnsi="メイリオ"/>
          <w:sz w:val="24"/>
          <w:szCs w:val="24"/>
        </w:rPr>
      </w:pPr>
      <w:r w:rsidRPr="00FF5CD8">
        <w:rPr>
          <w:rFonts w:ascii="メイリオ" w:eastAsia="メイリオ" w:hAnsi="メイリオ"/>
          <w:sz w:val="24"/>
          <w:szCs w:val="24"/>
        </w:rPr>
        <w:t xml:space="preserve">3. 多様な学問分野の研究者や実践者と国際的・学際的に協働し活躍する能力 </w:t>
      </w:r>
    </w:p>
    <w:p w:rsidR="00FF5CD8" w:rsidRDefault="00FF5CD8" w:rsidP="00F6782E">
      <w:pPr>
        <w:snapToGrid w:val="0"/>
        <w:spacing w:line="264" w:lineRule="auto"/>
        <w:rPr>
          <w:rFonts w:ascii="メイリオ" w:eastAsia="メイリオ" w:hAnsi="メイリオ"/>
          <w:sz w:val="24"/>
          <w:szCs w:val="24"/>
        </w:rPr>
      </w:pPr>
      <w:r w:rsidRPr="00FF5CD8">
        <w:rPr>
          <w:rFonts w:ascii="メイリオ" w:eastAsia="メイリオ" w:hAnsi="メイリオ"/>
          <w:sz w:val="24"/>
          <w:szCs w:val="24"/>
        </w:rPr>
        <w:t xml:space="preserve">4. 看護の責任と役割を果たすために組織を変革する能力 </w:t>
      </w:r>
    </w:p>
    <w:p w:rsidR="00FF5CD8" w:rsidRDefault="00FF5CD8" w:rsidP="00F6782E">
      <w:pPr>
        <w:snapToGrid w:val="0"/>
        <w:spacing w:line="264" w:lineRule="auto"/>
        <w:rPr>
          <w:rFonts w:ascii="メイリオ" w:eastAsia="メイリオ" w:hAnsi="メイリオ"/>
          <w:sz w:val="24"/>
          <w:szCs w:val="24"/>
        </w:rPr>
      </w:pPr>
      <w:r w:rsidRPr="00FF5CD8">
        <w:rPr>
          <w:rFonts w:ascii="メイリオ" w:eastAsia="メイリオ" w:hAnsi="メイリオ"/>
          <w:sz w:val="24"/>
          <w:szCs w:val="24"/>
        </w:rPr>
        <w:t>5. 新たな知見を次世代に伝え人材を教育する能力</w:t>
      </w:r>
    </w:p>
    <w:p w:rsidR="00FF5CD8" w:rsidRPr="00FF5CD8" w:rsidRDefault="00FF5CD8" w:rsidP="00F6782E">
      <w:pPr>
        <w:snapToGrid w:val="0"/>
        <w:spacing w:line="264" w:lineRule="auto"/>
        <w:rPr>
          <w:rFonts w:ascii="メイリオ" w:eastAsia="メイリオ" w:hAnsi="メイリオ"/>
          <w:sz w:val="24"/>
          <w:szCs w:val="24"/>
        </w:rPr>
      </w:pPr>
    </w:p>
    <w:p w:rsidR="00FF5CD8" w:rsidRDefault="00FF5CD8" w:rsidP="00F6782E">
      <w:pPr>
        <w:snapToGrid w:val="0"/>
        <w:spacing w:line="264" w:lineRule="auto"/>
        <w:rPr>
          <w:rFonts w:ascii="メイリオ" w:eastAsia="メイリオ" w:hAnsi="メイリオ"/>
          <w:b/>
          <w:color w:val="2F5496" w:themeColor="accent1" w:themeShade="BF"/>
          <w:sz w:val="28"/>
          <w:szCs w:val="24"/>
        </w:rPr>
      </w:pPr>
      <w:r w:rsidRPr="00FF5CD8">
        <w:rPr>
          <w:rFonts w:ascii="メイリオ" w:eastAsia="メイリオ" w:hAnsi="メイリオ" w:hint="eastAsia"/>
          <w:b/>
          <w:color w:val="2F5496" w:themeColor="accent1" w:themeShade="BF"/>
          <w:sz w:val="28"/>
          <w:szCs w:val="24"/>
        </w:rPr>
        <w:t>カリキュラム・ポリシー（教育課程の編成・実施の方針）</w:t>
      </w:r>
    </w:p>
    <w:p w:rsidR="00F6782E" w:rsidRPr="00FF5CD8" w:rsidRDefault="00F6782E" w:rsidP="00F6782E">
      <w:pPr>
        <w:snapToGrid w:val="0"/>
        <w:spacing w:line="264" w:lineRule="auto"/>
        <w:rPr>
          <w:rFonts w:ascii="メイリオ" w:eastAsia="メイリオ" w:hAnsi="メイリオ"/>
          <w:b/>
          <w:color w:val="2F5496" w:themeColor="accent1" w:themeShade="BF"/>
          <w:sz w:val="28"/>
          <w:szCs w:val="24"/>
        </w:rPr>
      </w:pPr>
    </w:p>
    <w:p w:rsidR="00FF5CD8" w:rsidRPr="00AC5191" w:rsidRDefault="00FF5CD8" w:rsidP="00F6782E">
      <w:pPr>
        <w:snapToGrid w:val="0"/>
        <w:spacing w:line="264" w:lineRule="auto"/>
        <w:rPr>
          <w:rFonts w:ascii="メイリオ" w:eastAsia="メイリオ" w:hAnsi="メイリオ"/>
          <w:sz w:val="24"/>
          <w:szCs w:val="24"/>
        </w:rPr>
      </w:pPr>
      <w:r w:rsidRPr="00AC5191">
        <w:rPr>
          <w:rFonts w:ascii="メイリオ" w:eastAsia="メイリオ" w:hAnsi="メイリオ" w:hint="eastAsia"/>
          <w:sz w:val="24"/>
          <w:szCs w:val="24"/>
        </w:rPr>
        <w:t>看護学専攻博士後期課程のカリキュラムは、教育理念、教育目標、ディプロマ・ポリシーに基づいて「共通科目（必修）」「共通科目（選択）」「専門科目（演習含む）」「特別研究（必修）」で編成する。</w:t>
      </w:r>
    </w:p>
    <w:p w:rsidR="00FF5CD8" w:rsidRPr="00AC5191" w:rsidRDefault="00FF5CD8" w:rsidP="00F6782E">
      <w:pPr>
        <w:snapToGrid w:val="0"/>
        <w:spacing w:line="264" w:lineRule="auto"/>
        <w:rPr>
          <w:rFonts w:ascii="メイリオ" w:eastAsia="メイリオ" w:hAnsi="メイリオ"/>
          <w:sz w:val="24"/>
          <w:szCs w:val="24"/>
        </w:rPr>
      </w:pPr>
    </w:p>
    <w:p w:rsidR="00FF5CD8" w:rsidRDefault="00FF5CD8" w:rsidP="00F6782E">
      <w:pPr>
        <w:snapToGrid w:val="0"/>
        <w:spacing w:line="264" w:lineRule="auto"/>
        <w:ind w:left="240" w:hangingChars="100" w:hanging="240"/>
        <w:rPr>
          <w:rFonts w:ascii="メイリオ" w:eastAsia="メイリオ" w:hAnsi="メイリオ"/>
          <w:sz w:val="24"/>
          <w:szCs w:val="24"/>
        </w:rPr>
      </w:pPr>
      <w:r w:rsidRPr="00FF5CD8">
        <w:rPr>
          <w:rFonts w:ascii="メイリオ" w:eastAsia="メイリオ" w:hAnsi="メイリオ"/>
          <w:sz w:val="24"/>
          <w:szCs w:val="24"/>
        </w:rPr>
        <w:t>1. 知識や技術を創造する研究能力を育成するために、共通必修科目として「看護哲学概論」、共通選択科目として「看護学研究論」「応用統計学」を配置する。また、専門選択科目として「基盤創出看護学特講」「基盤創出看護学演習」、「先進治療看護学特講」「先進治療看護学演習」、「予防推進看護学特講」「予防推進看護学演習」、「地域包括看護学特講」「地域包括看護学演習」を置く。さらに、特別研究必修科目として「看護学特別研究Ⅰ」「看</w:t>
      </w:r>
      <w:r w:rsidRPr="00FF5CD8">
        <w:rPr>
          <w:rFonts w:ascii="メイリオ" w:eastAsia="メイリオ" w:hAnsi="メイリオ" w:hint="eastAsia"/>
          <w:sz w:val="24"/>
          <w:szCs w:val="24"/>
        </w:rPr>
        <w:t>護学特別研究Ⅱ」を配置する。</w:t>
      </w:r>
      <w:r w:rsidRPr="00FF5CD8">
        <w:rPr>
          <w:rFonts w:ascii="メイリオ" w:eastAsia="メイリオ" w:hAnsi="メイリオ"/>
          <w:sz w:val="24"/>
          <w:szCs w:val="24"/>
        </w:rPr>
        <w:t xml:space="preserve"> </w:t>
      </w:r>
    </w:p>
    <w:p w:rsidR="00FF5CD8" w:rsidRPr="00FF5CD8" w:rsidRDefault="00FF5CD8" w:rsidP="00F6782E">
      <w:pPr>
        <w:snapToGrid w:val="0"/>
        <w:spacing w:line="264" w:lineRule="auto"/>
        <w:ind w:left="480" w:hangingChars="200" w:hanging="480"/>
        <w:rPr>
          <w:rFonts w:ascii="メイリオ" w:eastAsia="メイリオ" w:hAnsi="メイリオ"/>
          <w:sz w:val="24"/>
          <w:szCs w:val="24"/>
        </w:rPr>
      </w:pPr>
      <w:r w:rsidRPr="00FF5CD8">
        <w:rPr>
          <w:rFonts w:ascii="メイリオ" w:eastAsia="メイリオ" w:hAnsi="メイリオ"/>
          <w:sz w:val="24"/>
          <w:szCs w:val="24"/>
        </w:rPr>
        <w:lastRenderedPageBreak/>
        <w:t>2. 看護哲学を追求する姿勢を育成するために、共通必修科目として「看護職生涯発達論」「看護哲学概論」を、共通選択科目として「看護学研究論」を配置する。また、専門選択科目として「基盤創出看護学特講」を置き、さらに特別研究必修科目として「看護学特別研究Ⅰ」を配置する。</w:t>
      </w:r>
    </w:p>
    <w:p w:rsidR="00FF5CD8" w:rsidRPr="00FF5CD8" w:rsidRDefault="00FF5CD8" w:rsidP="00F6782E">
      <w:pPr>
        <w:snapToGrid w:val="0"/>
        <w:spacing w:line="264" w:lineRule="auto"/>
        <w:ind w:left="240" w:hangingChars="100" w:hanging="240"/>
        <w:rPr>
          <w:rFonts w:ascii="メイリオ" w:eastAsia="メイリオ" w:hAnsi="メイリオ"/>
          <w:sz w:val="24"/>
          <w:szCs w:val="24"/>
        </w:rPr>
      </w:pPr>
      <w:r w:rsidRPr="00FF5CD8">
        <w:rPr>
          <w:rFonts w:ascii="メイリオ" w:eastAsia="メイリオ" w:hAnsi="メイリオ"/>
          <w:sz w:val="24"/>
          <w:szCs w:val="24"/>
        </w:rPr>
        <w:t>3. 国際的・学際的に協働し活躍する能力を育成するために、共通必修科目として「国際学術コミュニケーション論」と、特別研究必修科目として「看護学特別研究Ⅰ」「看護学特別研究Ⅱ」を配置する。</w:t>
      </w:r>
    </w:p>
    <w:p w:rsidR="00FF5CD8" w:rsidRDefault="00FF5CD8" w:rsidP="00F6782E">
      <w:pPr>
        <w:snapToGrid w:val="0"/>
        <w:spacing w:line="264" w:lineRule="auto"/>
        <w:ind w:left="240" w:hangingChars="100" w:hanging="240"/>
        <w:rPr>
          <w:rFonts w:ascii="メイリオ" w:eastAsia="メイリオ" w:hAnsi="メイリオ"/>
          <w:sz w:val="24"/>
          <w:szCs w:val="24"/>
        </w:rPr>
      </w:pPr>
      <w:r w:rsidRPr="00FF5CD8">
        <w:rPr>
          <w:rFonts w:ascii="メイリオ" w:eastAsia="メイリオ" w:hAnsi="メイリオ"/>
          <w:sz w:val="24"/>
          <w:szCs w:val="24"/>
        </w:rPr>
        <w:t>4. 組織を変革する能力を育成するために、共通必修科目として「看護職生涯発達論」を、専門選択科目として「基盤創出看護学演習」「先進治療看護学演習」「予防推進看護学演習」「地域包括看護学演習」と、特別研究必修科目として「看護学特別研究Ⅱ」を配置する。</w:t>
      </w:r>
    </w:p>
    <w:p w:rsidR="00FF5CD8" w:rsidRDefault="00FF5CD8" w:rsidP="00F6782E">
      <w:pPr>
        <w:snapToGrid w:val="0"/>
        <w:spacing w:line="264" w:lineRule="auto"/>
        <w:ind w:left="240" w:hangingChars="100" w:hanging="240"/>
        <w:rPr>
          <w:rFonts w:ascii="メイリオ" w:eastAsia="メイリオ" w:hAnsi="メイリオ"/>
          <w:sz w:val="24"/>
          <w:szCs w:val="24"/>
        </w:rPr>
      </w:pPr>
      <w:r w:rsidRPr="00FF5CD8">
        <w:rPr>
          <w:rFonts w:ascii="メイリオ" w:eastAsia="メイリオ" w:hAnsi="メイリオ"/>
          <w:sz w:val="24"/>
          <w:szCs w:val="24"/>
        </w:rPr>
        <w:t>5. 人材を教育する能力を育成するために、共通必修科目として「看護職生涯発達論」、専門選択科目「基盤創出看護学特講」と、特別研究「看護学特別研究Ⅱ」を配置する。</w:t>
      </w:r>
    </w:p>
    <w:p w:rsidR="00FF5CD8" w:rsidRDefault="00FF5CD8" w:rsidP="00F6782E">
      <w:pPr>
        <w:snapToGrid w:val="0"/>
        <w:spacing w:line="264" w:lineRule="auto"/>
        <w:ind w:left="240" w:hangingChars="100" w:hanging="240"/>
        <w:rPr>
          <w:rFonts w:ascii="メイリオ" w:eastAsia="メイリオ" w:hAnsi="メイリオ"/>
          <w:sz w:val="24"/>
          <w:szCs w:val="24"/>
        </w:rPr>
      </w:pPr>
    </w:p>
    <w:p w:rsidR="00FF5CD8" w:rsidRDefault="00FF5CD8" w:rsidP="00F6782E">
      <w:pPr>
        <w:snapToGrid w:val="0"/>
        <w:spacing w:line="264" w:lineRule="auto"/>
        <w:ind w:left="240" w:hangingChars="100" w:hanging="240"/>
        <w:rPr>
          <w:rFonts w:ascii="メイリオ" w:eastAsia="メイリオ" w:hAnsi="メイリオ"/>
          <w:b/>
          <w:color w:val="2F5496" w:themeColor="accent1" w:themeShade="BF"/>
          <w:sz w:val="28"/>
          <w:szCs w:val="24"/>
        </w:rPr>
      </w:pPr>
      <w:r w:rsidRPr="00FF5CD8">
        <w:rPr>
          <w:rFonts w:ascii="メイリオ" w:eastAsia="メイリオ" w:hAnsi="メイリオ"/>
          <w:sz w:val="24"/>
          <w:szCs w:val="24"/>
        </w:rPr>
        <w:t xml:space="preserve"> </w:t>
      </w:r>
      <w:r w:rsidRPr="00FF5CD8">
        <w:rPr>
          <w:rFonts w:ascii="メイリオ" w:eastAsia="メイリオ" w:hAnsi="メイリオ"/>
          <w:b/>
          <w:color w:val="2F5496" w:themeColor="accent1" w:themeShade="BF"/>
          <w:sz w:val="28"/>
          <w:szCs w:val="24"/>
        </w:rPr>
        <w:t xml:space="preserve">アドミッション・ポリシー（入学者に関する受入方針） </w:t>
      </w:r>
    </w:p>
    <w:p w:rsidR="00FF5CD8" w:rsidRPr="00FF5CD8" w:rsidRDefault="00FF5CD8" w:rsidP="00F6782E">
      <w:pPr>
        <w:snapToGrid w:val="0"/>
        <w:spacing w:line="264" w:lineRule="auto"/>
        <w:ind w:left="280" w:hangingChars="100" w:hanging="280"/>
        <w:rPr>
          <w:rFonts w:ascii="メイリオ" w:eastAsia="メイリオ" w:hAnsi="メイリオ"/>
          <w:b/>
          <w:color w:val="2F5496" w:themeColor="accent1" w:themeShade="BF"/>
          <w:sz w:val="28"/>
          <w:szCs w:val="24"/>
        </w:rPr>
      </w:pPr>
    </w:p>
    <w:p w:rsidR="00FF5CD8" w:rsidRDefault="00FF5CD8" w:rsidP="00F6782E">
      <w:pPr>
        <w:snapToGrid w:val="0"/>
        <w:spacing w:line="264" w:lineRule="auto"/>
        <w:ind w:left="240" w:hangingChars="100" w:hanging="240"/>
        <w:rPr>
          <w:rFonts w:ascii="メイリオ" w:eastAsia="メイリオ" w:hAnsi="メイリオ"/>
          <w:sz w:val="24"/>
          <w:szCs w:val="24"/>
        </w:rPr>
      </w:pPr>
      <w:r w:rsidRPr="00FF5CD8">
        <w:rPr>
          <w:rFonts w:ascii="メイリオ" w:eastAsia="メイリオ" w:hAnsi="メイリオ"/>
          <w:sz w:val="24"/>
          <w:szCs w:val="24"/>
        </w:rPr>
        <w:t>本博士後期課程のカリキュラムを修得し、修了時に求</w:t>
      </w:r>
      <w:r w:rsidRPr="00FF5CD8">
        <w:rPr>
          <w:rFonts w:ascii="メイリオ" w:eastAsia="メイリオ" w:hAnsi="メイリオ" w:hint="eastAsia"/>
          <w:sz w:val="24"/>
          <w:szCs w:val="24"/>
        </w:rPr>
        <w:t>められる能力を達成できる学生として、</w:t>
      </w:r>
    </w:p>
    <w:p w:rsidR="00FF5CD8" w:rsidRDefault="00FF5CD8" w:rsidP="00F6782E">
      <w:pPr>
        <w:snapToGrid w:val="0"/>
        <w:spacing w:line="264" w:lineRule="auto"/>
        <w:ind w:left="240" w:hangingChars="100" w:hanging="240"/>
        <w:rPr>
          <w:rFonts w:ascii="メイリオ" w:eastAsia="メイリオ" w:hAnsi="メイリオ"/>
          <w:sz w:val="24"/>
          <w:szCs w:val="24"/>
        </w:rPr>
      </w:pPr>
      <w:r w:rsidRPr="00FF5CD8">
        <w:rPr>
          <w:rFonts w:ascii="メイリオ" w:eastAsia="メイリオ" w:hAnsi="メイリオ" w:hint="eastAsia"/>
          <w:sz w:val="24"/>
          <w:szCs w:val="24"/>
        </w:rPr>
        <w:t>入学時に以下の人を求める。</w:t>
      </w:r>
    </w:p>
    <w:p w:rsidR="00FF5CD8" w:rsidRPr="00FF5CD8" w:rsidRDefault="00FF5CD8" w:rsidP="00F6782E">
      <w:pPr>
        <w:snapToGrid w:val="0"/>
        <w:spacing w:line="264" w:lineRule="auto"/>
        <w:ind w:left="240" w:hangingChars="100" w:hanging="240"/>
        <w:rPr>
          <w:rFonts w:ascii="メイリオ" w:eastAsia="メイリオ" w:hAnsi="メイリオ"/>
          <w:sz w:val="24"/>
          <w:szCs w:val="24"/>
        </w:rPr>
      </w:pPr>
    </w:p>
    <w:p w:rsidR="00FF5CD8" w:rsidRDefault="00FF5CD8" w:rsidP="00F6782E">
      <w:pPr>
        <w:snapToGrid w:val="0"/>
        <w:spacing w:line="264" w:lineRule="auto"/>
        <w:rPr>
          <w:rFonts w:ascii="メイリオ" w:eastAsia="メイリオ" w:hAnsi="メイリオ"/>
          <w:sz w:val="24"/>
          <w:szCs w:val="24"/>
        </w:rPr>
      </w:pPr>
      <w:r w:rsidRPr="00FF5CD8">
        <w:rPr>
          <w:rFonts w:ascii="メイリオ" w:eastAsia="メイリオ" w:hAnsi="メイリオ" w:hint="eastAsia"/>
          <w:sz w:val="24"/>
          <w:szCs w:val="24"/>
        </w:rPr>
        <w:t>１．専攻する看護学分野における高い知識を有している者</w:t>
      </w:r>
      <w:r w:rsidRPr="00FF5CD8">
        <w:rPr>
          <w:rFonts w:ascii="メイリオ" w:eastAsia="メイリオ" w:hAnsi="メイリオ"/>
          <w:sz w:val="24"/>
          <w:szCs w:val="24"/>
        </w:rPr>
        <w:t xml:space="preserve"> </w:t>
      </w:r>
    </w:p>
    <w:p w:rsidR="00FF5CD8" w:rsidRDefault="00FF5CD8" w:rsidP="00F6782E">
      <w:pPr>
        <w:snapToGrid w:val="0"/>
        <w:spacing w:line="264" w:lineRule="auto"/>
        <w:rPr>
          <w:rFonts w:ascii="メイリオ" w:eastAsia="メイリオ" w:hAnsi="メイリオ"/>
          <w:sz w:val="24"/>
          <w:szCs w:val="24"/>
        </w:rPr>
      </w:pPr>
      <w:r w:rsidRPr="00FF5CD8">
        <w:rPr>
          <w:rFonts w:ascii="メイリオ" w:eastAsia="メイリオ" w:hAnsi="メイリオ"/>
          <w:sz w:val="24"/>
          <w:szCs w:val="24"/>
        </w:rPr>
        <w:t>２．看護における課題解決のための研究に取り組む能力がある者</w:t>
      </w:r>
    </w:p>
    <w:p w:rsidR="00FF5CD8" w:rsidRPr="00FF5CD8" w:rsidRDefault="00FF5CD8" w:rsidP="00F6782E">
      <w:pPr>
        <w:snapToGrid w:val="0"/>
        <w:spacing w:line="264" w:lineRule="auto"/>
        <w:rPr>
          <w:rFonts w:ascii="メイリオ" w:eastAsia="メイリオ" w:hAnsi="メイリオ"/>
          <w:sz w:val="24"/>
          <w:szCs w:val="24"/>
        </w:rPr>
      </w:pPr>
      <w:r w:rsidRPr="00FF5CD8">
        <w:rPr>
          <w:rFonts w:ascii="メイリオ" w:eastAsia="メイリオ" w:hAnsi="メイリオ"/>
          <w:sz w:val="24"/>
          <w:szCs w:val="24"/>
        </w:rPr>
        <w:t>３．将来、看護学教育者、看護学研究者、看護管理者として社会に貢献する意志がある者</w:t>
      </w:r>
    </w:p>
    <w:p w:rsidR="00FF5CD8" w:rsidRDefault="00FF5CD8" w:rsidP="00F6782E">
      <w:pPr>
        <w:snapToGrid w:val="0"/>
        <w:spacing w:line="264" w:lineRule="auto"/>
        <w:rPr>
          <w:rFonts w:ascii="メイリオ" w:eastAsia="メイリオ" w:hAnsi="メイリオ"/>
          <w:sz w:val="24"/>
          <w:szCs w:val="24"/>
        </w:rPr>
      </w:pPr>
      <w:bookmarkStart w:id="0" w:name="_GoBack"/>
      <w:bookmarkEnd w:id="0"/>
    </w:p>
    <w:p w:rsidR="00AC5191" w:rsidRPr="00D41577" w:rsidRDefault="00AC5191" w:rsidP="00F6782E">
      <w:pPr>
        <w:snapToGrid w:val="0"/>
        <w:spacing w:line="264" w:lineRule="auto"/>
        <w:rPr>
          <w:rFonts w:ascii="メイリオ" w:eastAsia="メイリオ" w:hAnsi="メイリオ"/>
          <w:sz w:val="24"/>
          <w:szCs w:val="24"/>
        </w:rPr>
      </w:pPr>
      <w:r w:rsidRPr="00D41577">
        <w:rPr>
          <w:rFonts w:ascii="メイリオ" w:eastAsia="メイリオ" w:hAnsi="メイリオ" w:hint="eastAsia"/>
          <w:sz w:val="24"/>
          <w:szCs w:val="24"/>
        </w:rPr>
        <w:t>入学者選抜試験では、看護学専攻分野における高い知識を看護専門科目の筆記試験と書類審査で評価する。また、看護における課題解決のための研究に取り組む能力は、これまでの学会発表や論文を含む書類審査、看護専門科目と英語の筆記試験および面接試験で評価する。さらに、将来、社会に貢献する意</w:t>
      </w:r>
      <w:r w:rsidR="00C44F31" w:rsidRPr="00623098">
        <w:rPr>
          <w:rFonts w:ascii="メイリオ" w:eastAsia="メイリオ" w:hAnsi="メイリオ" w:hint="eastAsia"/>
          <w:sz w:val="24"/>
          <w:szCs w:val="24"/>
        </w:rPr>
        <w:t>志</w:t>
      </w:r>
      <w:r w:rsidRPr="00623098">
        <w:rPr>
          <w:rFonts w:ascii="メイリオ" w:eastAsia="メイリオ" w:hAnsi="メイリオ" w:hint="eastAsia"/>
          <w:sz w:val="24"/>
          <w:szCs w:val="24"/>
        </w:rPr>
        <w:t>は</w:t>
      </w:r>
      <w:r w:rsidRPr="00D41577">
        <w:rPr>
          <w:rFonts w:ascii="メイリオ" w:eastAsia="メイリオ" w:hAnsi="メイリオ" w:hint="eastAsia"/>
          <w:sz w:val="24"/>
          <w:szCs w:val="24"/>
        </w:rPr>
        <w:t>面接試験で評価する。</w:t>
      </w:r>
    </w:p>
    <w:sectPr w:rsidR="00AC5191" w:rsidRPr="00D41577" w:rsidSect="00FF5CD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D8"/>
    <w:rsid w:val="003645C2"/>
    <w:rsid w:val="00623098"/>
    <w:rsid w:val="00AC5191"/>
    <w:rsid w:val="00C44F31"/>
    <w:rsid w:val="00D41577"/>
    <w:rsid w:val="00F6782E"/>
    <w:rsid w:val="00FF5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CC8FDC-677C-4867-A52C-0968EEE7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N2019-002</dc:creator>
  <cp:keywords/>
  <dc:description/>
  <cp:lastModifiedBy>C2024-001</cp:lastModifiedBy>
  <cp:revision>6</cp:revision>
  <dcterms:created xsi:type="dcterms:W3CDTF">2024-09-10T06:44:00Z</dcterms:created>
  <dcterms:modified xsi:type="dcterms:W3CDTF">2025-06-28T09:17:00Z</dcterms:modified>
</cp:coreProperties>
</file>